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CA" w:rsidRPr="006F3F07" w:rsidRDefault="00917C04" w:rsidP="006F3F07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F3F07">
        <w:rPr>
          <w:rFonts w:asciiTheme="majorBidi" w:hAnsiTheme="majorBidi" w:cstheme="majorBidi"/>
          <w:b/>
          <w:bCs/>
          <w:sz w:val="32"/>
          <w:szCs w:val="32"/>
          <w:rtl/>
        </w:rPr>
        <w:t>الخلاصة</w:t>
      </w:r>
    </w:p>
    <w:p w:rsidR="00917C04" w:rsidRPr="006F3F07" w:rsidRDefault="00917C04" w:rsidP="003E6188">
      <w:pPr>
        <w:bidi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اختتمت الدراسه الحالية بالكشف  عن وجود فايروس الهربس البقري </w:t>
      </w:r>
      <w:r w:rsidR="003E6188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1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في الابقار</w:t>
      </w:r>
      <w:r w:rsidR="00266A10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والجاموس ومن خلال استخدام فحص الأنزيم الممنع الممتز( الاليزا) الغير مباشر وتم تأكيد النتائج بأ</w:t>
      </w:r>
      <w:r w:rsidR="003E618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ستخدام التضخيم التسلسلي للبلمرة</w:t>
      </w:r>
      <w:r w:rsidR="00266A10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العادي .وقد تم </w:t>
      </w:r>
      <w:r w:rsidR="003E618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جمع</w:t>
      </w:r>
      <w:r w:rsidR="00266A10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العينات في الفترة الممتدة</w:t>
      </w:r>
      <w:r w:rsidR="004B3B6E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من شه</w:t>
      </w:r>
      <w:r w:rsidR="00266A10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ر تموز لغاية شهر كانون الاول لعام 2016 من مناطق متفرقة في بغداد بلغ اجمالي الحيوا</w:t>
      </w:r>
      <w:r w:rsidR="004A2282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ن</w:t>
      </w:r>
      <w:r w:rsidR="00266A10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ات المشكوك بوجود المرض فيها والتي تم سحب العينات منها 368</w:t>
      </w:r>
      <w:r w:rsidR="004B3B6E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( تضمن 243 ابقار و 125 جاموس) اخذت عشوائيا </w:t>
      </w:r>
      <w:r w:rsidR="003E618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مناعمار واجناس مختلفة</w:t>
      </w:r>
      <w:r w:rsidR="004B3B6E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مع مراعاة النسب المئوية الرسمية </w:t>
      </w:r>
      <w:r w:rsidR="003E618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لأ</w:t>
      </w:r>
      <w:r w:rsidR="004B3B6E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عداد الحيوانات في هذه المناطق اضافة لنسب الاعمار والاجناس. </w:t>
      </w:r>
    </w:p>
    <w:p w:rsidR="009435CF" w:rsidRPr="006F3F07" w:rsidRDefault="004B3B6E" w:rsidP="003E6188">
      <w:pPr>
        <w:bidi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النتائج المتحققة في هذه الدراسة أشارت الى ان 131 (35.59%) مصل  من مجموع الامصال المفحوصة لكل من الابقار والجاموس كانت موجبة لأختبار الاليزا الغير مباشر بينما بلغت العينات السالبة 237 </w:t>
      </w:r>
      <w:r w:rsidR="003E618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و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بنسبة 6</w:t>
      </w:r>
      <w:r w:rsidR="003E6188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4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.07%. في الابقار كانت اعداد العينات الموجبة للاختبار 80(32.92%)</w:t>
      </w:r>
      <w:r w:rsidR="009435CF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بينما السالبة بلغت 163(67.07%), اما في الجاموس فكانت اعداد العينات الموجبة 51 اي (40.80%) والسالبة 74(59.20%). احصائيا كان هنالك فرق معنوي  بين النسب الموجبة في الابقار والجاموس (</w:t>
      </w:r>
      <w:r w:rsidR="009435CF" w:rsidRPr="006F3F07">
        <w:rPr>
          <w:rFonts w:asciiTheme="majorBidi" w:hAnsiTheme="majorBidi" w:cstheme="majorBidi"/>
          <w:b/>
          <w:bCs/>
          <w:sz w:val="24"/>
          <w:szCs w:val="24"/>
          <w:lang w:bidi="ar-IQ"/>
        </w:rPr>
        <w:t>P&lt;0.05</w:t>
      </w:r>
      <w:r w:rsidR="009435CF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) وكذلك بين المجموع الكلي للعينات الموجبة والعينات السالبة ب( </w:t>
      </w:r>
      <w:r w:rsidR="009435CF" w:rsidRPr="006F3F07">
        <w:rPr>
          <w:rFonts w:asciiTheme="majorBidi" w:hAnsiTheme="majorBidi" w:cstheme="majorBidi"/>
          <w:b/>
          <w:bCs/>
          <w:sz w:val="24"/>
          <w:szCs w:val="24"/>
          <w:lang w:bidi="ar-IQ"/>
        </w:rPr>
        <w:t>P&lt;0.01</w:t>
      </w:r>
      <w:r w:rsidR="009435CF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).</w:t>
      </w:r>
    </w:p>
    <w:p w:rsidR="005A5038" w:rsidRPr="006F3F07" w:rsidRDefault="00015EC1" w:rsidP="00C37E91">
      <w:pPr>
        <w:bidi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العلامات المرضية الرئيسية </w:t>
      </w:r>
      <w:r w:rsidR="00651CCC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التي شوهدت في هذه الدراسة تضمنت الاجهاض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، </w:t>
      </w:r>
      <w:r w:rsidR="00651CCC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والعلامات التنفسية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وحالات التهاب العين </w:t>
      </w:r>
      <w:r w:rsidR="006D770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حيث بلغت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النسب المئوية الموجبة</w:t>
      </w:r>
      <w:r w:rsidR="005A5038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في الابقاروبالتعاقب 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31.37%، 38.80% ، 52.94</w:t>
      </w:r>
      <w:r w:rsidR="005A5038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% في حين كانت 29.03%، 41.55%، 75.00% في الجاموس. احصائيا كان هنالك فارق معنوي بين النسب المئوية للحالات المرضية في كل من الجاموس والابقار وباحتمالية (&lt;0.01). اما عند حساب النسب المئوية للاعراض المرضية </w:t>
      </w:r>
      <w:r w:rsidR="006D770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المختلطة مع الاعراض الاخرى في</w:t>
      </w:r>
      <w:r w:rsidR="005A5038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الحالة الواحدة فقد كانت تترواح</w:t>
      </w:r>
      <w:r w:rsidR="006D770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ما</w:t>
      </w:r>
      <w:r w:rsidR="005A5038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بين 1.25%- 20% في الابقار و1.96%- 29.4% في الجاموس.</w:t>
      </w:r>
    </w:p>
    <w:p w:rsidR="00C6627A" w:rsidRPr="006F3F07" w:rsidRDefault="00C6627A" w:rsidP="006F3F07">
      <w:pPr>
        <w:bidi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اخذت العينات من مناطق متعددة في بغداد ترواحت نسب العينات الموجبة فيها من 9.30% لغاية 66.66% بالنسبة للابقار, في حين ترواحت النسب من 20% لغاية 51.66% في الجاموس.كانت اعلى النسب مسجلة في منطقة الفضيلية في كل من الابقار والجاموس. هنالك فرق احصائي معنوي بين النسب في المناطق ذات النسب العالية  والمناطق ذات النسب القليلة </w:t>
      </w:r>
      <w:r w:rsidR="00F24EA6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وباحتمالية (&lt;0.01)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.</w:t>
      </w:r>
    </w:p>
    <w:p w:rsidR="00F24EA6" w:rsidRPr="006F3F07" w:rsidRDefault="00F40219" w:rsidP="006D7707">
      <w:pPr>
        <w:bidi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lastRenderedPageBreak/>
        <w:t xml:space="preserve">جميع </w:t>
      </w:r>
      <w:r w:rsidR="006D770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الفئات العمرية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كانت فيها نسب من العينات الموجبة لمرض حمة التهاب الانف والرغامي المعدي (الخمجي), لكن اعلى نسب</w:t>
      </w:r>
      <w:r w:rsidR="006D770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ةل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لحالات الموجبة وجدت في العمار الاكبر من 4 سنوات بالنسبة للابقار  وصلت الى 37.66%</w:t>
      </w:r>
      <w:r w:rsidR="00F24EA6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،اما بالنسبة للجاموس فكانت النسبة الموجبة الاعلى قد سجلت في الاعمار المحصورة </w:t>
      </w:r>
      <w:r w:rsidR="006D770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ما </w:t>
      </w:r>
      <w:r w:rsidR="006D77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بين اقل من 1 سنة و</w:t>
      </w:r>
      <w:r w:rsidR="006D770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ل</w:t>
      </w:r>
      <w:r w:rsidR="00F24EA6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عمر سنتان بنسبة 48.93% مع فارق معنوي احصائي بين هذه الفئات العمرية والفئات العمرية الاخرى وباحتمالية </w:t>
      </w:r>
      <w:r w:rsidR="006D770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اقل من </w:t>
      </w:r>
      <w:r w:rsidR="00F24EA6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0.01. </w:t>
      </w:r>
    </w:p>
    <w:p w:rsidR="008D6220" w:rsidRPr="006F3F07" w:rsidRDefault="008D6220" w:rsidP="00FB1FBD">
      <w:pPr>
        <w:bidi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تأثير الجنس كعامل خطورة ايضا اخذ بنظر الاعتبار في هذه الدراسة حيث وجد بأن النسبة الاعلى كانت في الاناث </w:t>
      </w:r>
      <w:r w:rsidR="00BE4129" w:rsidRPr="006F3F0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في كل من الابقار والجاموس حيث كانت 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33.66% </w:t>
      </w:r>
      <w:r w:rsidR="00BE4129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41.34% </w:t>
      </w:r>
      <w:r w:rsidR="00BE4129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بالتعاقب اما في الذكور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فكانت </w:t>
      </w:r>
      <w:r w:rsidR="006D770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29.54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%</w:t>
      </w:r>
      <w:r w:rsidR="00BE4129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في الابقار و</w:t>
      </w:r>
      <w:r w:rsidR="006D770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38.09</w:t>
      </w:r>
      <w:r w:rsidR="00BE4129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% في الجاموس 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. ومع ذلك لايوجد فرق معنوي بين نسب الحالات الموجبة</w:t>
      </w:r>
      <w:r w:rsidR="00E173E0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للذكور والاناث 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للابقار والجاموس </w:t>
      </w:r>
      <w:r w:rsidR="00F24EA6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وباحتمالية </w:t>
      </w:r>
      <w:r w:rsidR="006D770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اكبر من </w:t>
      </w:r>
      <w:r w:rsidR="00F24EA6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0.0</w:t>
      </w:r>
      <w:r w:rsidR="00FB1FB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5.</w:t>
      </w:r>
    </w:p>
    <w:p w:rsidR="008D6220" w:rsidRPr="006F3F07" w:rsidRDefault="008D6220" w:rsidP="00FB1FBD">
      <w:pPr>
        <w:bidi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بشكل عام</w:t>
      </w:r>
      <w:r w:rsidR="00FB1FB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أظهرت النتائج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ان أشهر الخريف والشتاء التي اخذت فيها العينات وهي كل من </w:t>
      </w:r>
      <w:r w:rsidR="00653382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تشرين الاول وتشرين الثاني وكانون الاول قد سجلت اعلى</w:t>
      </w:r>
      <w:r w:rsidR="00FB1FB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</w:t>
      </w:r>
      <w:r w:rsidR="00653382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نسب </w:t>
      </w:r>
      <w:r w:rsidR="00FB1FB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ل</w:t>
      </w:r>
      <w:r w:rsidR="00653382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لحالات الموجبة </w:t>
      </w:r>
      <w:r w:rsidR="00FB1FB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في اختبار</w:t>
      </w:r>
      <w:r w:rsidR="00653382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الاليزا </w:t>
      </w:r>
      <w:r w:rsidR="00FB1FB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ل</w:t>
      </w:r>
      <w:r w:rsidR="00653382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كل من الجاموس والابقار بالقياس مع اشهر الصيف والمتمثلة ب تموز , اب و ايلول . علما ان شهر كانون الاول سجل اعلى نسب </w:t>
      </w:r>
      <w:r w:rsidR="00FB1FB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ل</w:t>
      </w:r>
      <w:r w:rsidR="00653382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لحالات الموجبة ب45% في الابقار و 57.14</w:t>
      </w:r>
      <w:r w:rsidR="00F24EA6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%</w:t>
      </w:r>
      <w:r w:rsidR="00653382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في الجاموس وسجل شهر تموز اقل </w:t>
      </w:r>
      <w:r w:rsidR="00FB1FB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النسبل</w:t>
      </w:r>
      <w:r w:rsidR="00653382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لحالات الموجبة ب 17.94% في الابقار و 20%  في الجاموس .أحصائيا كان هنالك فرق معنوي بين اشهر الشتاء وباقي الاشهر الاخرى </w:t>
      </w:r>
      <w:r w:rsidR="00F24EA6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وباحتمالية</w:t>
      </w:r>
      <w:r w:rsidR="00FB1FB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اقل  من </w:t>
      </w:r>
      <w:r w:rsidR="00F24EA6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0.01 </w:t>
      </w:r>
      <w:r w:rsidR="00653382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في كل من الابقار والجاموس.</w:t>
      </w:r>
    </w:p>
    <w:p w:rsidR="00D4006F" w:rsidRPr="006F3F07" w:rsidRDefault="00653382" w:rsidP="00C37E91">
      <w:pPr>
        <w:bidi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فحص التضخيم التسلسلي للبلمرة يعتبر من الفحوصات المتقدمة</w:t>
      </w:r>
      <w:r w:rsidR="00D4006F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التي استخدمت في دراستنا الحالية ل</w:t>
      </w:r>
      <w:r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تأكيد وجود فايروس الهربس 1 البقري</w:t>
      </w:r>
      <w:r w:rsidR="00D4006F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.حيث اخذ 50 نموذج م</w:t>
      </w:r>
      <w:r w:rsidR="00FB1FB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تنوع</w:t>
      </w:r>
      <w:r w:rsidR="00D4006F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( 23 عينة دم، 18 مسحة انفية و 8 محتوى المعدة الرابعة </w:t>
      </w:r>
      <w:r w:rsidR="00FB1FB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لأ</w:t>
      </w:r>
      <w:r w:rsidR="00D4006F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جنة مجهضة) اخذت من ابقار وجاموس موجبة للمرض بفحص الاليزا.العينات الموجبة بفحص التضخيم التسلسلي للبلمرة كانت 37(74%). اما النسب المئوية </w:t>
      </w:r>
      <w:r w:rsidR="006F3F07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لكل </w:t>
      </w:r>
      <w:r w:rsidR="00FB1FB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نوع من العينات </w:t>
      </w:r>
      <w:r w:rsidR="006F3F07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فكانت 83.33% لعينات الدم ، 55.55% للمسحات الانفية و 87.50% لعينات محتوى المعدة الرابعة للاجنة المجهضة وقد ظهر احصائيا فرق معنوي بين النسب المئوية للحالات الموجبة والسالبة لكل </w:t>
      </w:r>
      <w:r w:rsidR="00FB1FB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نوع من العينات </w:t>
      </w:r>
      <w:r w:rsidR="006F3F07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وباحتمالية (&lt;0.05) ما عدا المس</w:t>
      </w:r>
      <w:r w:rsidR="00FB1FB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ح</w:t>
      </w:r>
      <w:r w:rsidR="006F3F07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الانفية كانت  باحتمالية (&lt;0.01) كذلك هنالك فرق معنوي بين </w:t>
      </w:r>
      <w:r w:rsidR="00FB1FB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الانواع الثلاثة للعينات</w:t>
      </w:r>
      <w:r w:rsidR="00C37E9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وبا</w:t>
      </w:r>
      <w:bookmarkStart w:id="0" w:name="_GoBack"/>
      <w:bookmarkEnd w:id="0"/>
      <w:r w:rsidR="00C37E9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حتمالية</w:t>
      </w:r>
      <w:r w:rsidR="006F3F07" w:rsidRPr="006F3F07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(&lt;0.01).</w:t>
      </w:r>
    </w:p>
    <w:p w:rsidR="0014489A" w:rsidRPr="006F3F07" w:rsidRDefault="0014489A" w:rsidP="006F3F07">
      <w:pPr>
        <w:bidi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sectPr w:rsidR="0014489A" w:rsidRPr="006F3F07" w:rsidSect="00F50944">
      <w:pgSz w:w="11906" w:h="16838"/>
      <w:pgMar w:top="1134" w:right="1418" w:bottom="1134" w:left="1418" w:header="709" w:footer="709" w:gutter="1134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00000000" w:usb2="00000000" w:usb3="00000000" w:csb0="000000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36E8"/>
    <w:rsid w:val="00015EC1"/>
    <w:rsid w:val="000B36E8"/>
    <w:rsid w:val="0014489A"/>
    <w:rsid w:val="001B27A4"/>
    <w:rsid w:val="00266A10"/>
    <w:rsid w:val="002C3466"/>
    <w:rsid w:val="003E6188"/>
    <w:rsid w:val="004A2282"/>
    <w:rsid w:val="004B3B6E"/>
    <w:rsid w:val="0056488E"/>
    <w:rsid w:val="005A5038"/>
    <w:rsid w:val="00651CCC"/>
    <w:rsid w:val="00653382"/>
    <w:rsid w:val="006D7707"/>
    <w:rsid w:val="006E3A9F"/>
    <w:rsid w:val="006F3F07"/>
    <w:rsid w:val="008019BA"/>
    <w:rsid w:val="008D5072"/>
    <w:rsid w:val="008D6220"/>
    <w:rsid w:val="00917639"/>
    <w:rsid w:val="00917C04"/>
    <w:rsid w:val="009435CF"/>
    <w:rsid w:val="00964CCA"/>
    <w:rsid w:val="00BE4129"/>
    <w:rsid w:val="00C37E91"/>
    <w:rsid w:val="00C6627A"/>
    <w:rsid w:val="00D4006F"/>
    <w:rsid w:val="00D84398"/>
    <w:rsid w:val="00DB3065"/>
    <w:rsid w:val="00E173E0"/>
    <w:rsid w:val="00F24EA6"/>
    <w:rsid w:val="00F40219"/>
    <w:rsid w:val="00F50944"/>
    <w:rsid w:val="00FB1FBD"/>
    <w:rsid w:val="00FE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C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C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0753-4311-4D26-8EF7-285F5797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bashar</cp:lastModifiedBy>
  <cp:revision>12</cp:revision>
  <cp:lastPrinted>2017-05-25T04:07:00Z</cp:lastPrinted>
  <dcterms:created xsi:type="dcterms:W3CDTF">2017-05-06T21:54:00Z</dcterms:created>
  <dcterms:modified xsi:type="dcterms:W3CDTF">2017-08-29T06:37:00Z</dcterms:modified>
</cp:coreProperties>
</file>